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86"/>
      </w:tblGrid>
      <w:tr w:rsidR="00A90FCD" w:rsidRPr="003B4CE1" w:rsidTr="006C2C6C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A90FCD" w:rsidRPr="003B4CE1" w:rsidRDefault="004E0933">
            <w:pPr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</w:pPr>
            <w:r w:rsidRPr="003B4CE1"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>Sheet 1</w:t>
            </w:r>
            <w:r w:rsidR="006966C8" w:rsidRPr="003B4CE1"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 xml:space="preserve">: </w:t>
            </w:r>
            <w:r w:rsidRPr="003B4CE1"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>Definition</w:t>
            </w:r>
            <w:r w:rsidR="00A90FCD" w:rsidRPr="003B4CE1">
              <w:rPr>
                <w:rFonts w:ascii="Arial" w:hAnsi="Arial"/>
                <w:color w:val="000000"/>
                <w:sz w:val="52"/>
                <w:szCs w:val="52"/>
                <w:lang w:val="en-GB" w:eastAsia="de-DE"/>
              </w:rPr>
              <w:t xml:space="preserve"> Sheet</w:t>
            </w:r>
          </w:p>
          <w:p w:rsidR="006C2C6C" w:rsidRPr="003B4CE1" w:rsidRDefault="004970D5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4CE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Function: To overview </w:t>
            </w:r>
            <w:r w:rsidR="004E0933" w:rsidRPr="003B4CE1">
              <w:rPr>
                <w:rFonts w:ascii="Arial" w:hAnsi="Arial" w:cs="Arial"/>
                <w:b/>
                <w:sz w:val="20"/>
                <w:szCs w:val="20"/>
                <w:lang w:val="en-GB"/>
              </w:rPr>
              <w:t>defini</w:t>
            </w:r>
            <w:r w:rsidR="006C2C6C" w:rsidRPr="003B4CE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tions made prior to data collection. Definitions refer to all </w:t>
            </w:r>
            <w:r w:rsidR="003B4CE1">
              <w:rPr>
                <w:rFonts w:ascii="Arial" w:hAnsi="Arial" w:cs="Arial"/>
                <w:b/>
                <w:sz w:val="20"/>
                <w:szCs w:val="20"/>
                <w:lang w:val="en-GB"/>
              </w:rPr>
              <w:t>Sheets and T</w:t>
            </w:r>
            <w:r w:rsidR="006C2C6C" w:rsidRPr="003B4CE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ools. </w:t>
            </w:r>
            <w:r w:rsidR="003B4CE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copy of the Definition </w:t>
            </w:r>
            <w:r w:rsidR="006C2C6C" w:rsidRPr="003B4CE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Sheet </w:t>
            </w:r>
            <w:r w:rsidR="004E0933" w:rsidRPr="003B4CE1">
              <w:rPr>
                <w:rFonts w:ascii="Arial" w:hAnsi="Arial" w:cs="Arial"/>
                <w:b/>
                <w:sz w:val="20"/>
                <w:szCs w:val="20"/>
                <w:lang w:val="en-GB"/>
              </w:rPr>
              <w:t>can be handed ou</w:t>
            </w:r>
            <w:r w:rsidR="006C2C6C" w:rsidRPr="003B4CE1">
              <w:rPr>
                <w:rFonts w:ascii="Arial" w:hAnsi="Arial" w:cs="Arial"/>
                <w:b/>
                <w:sz w:val="20"/>
                <w:szCs w:val="20"/>
                <w:lang w:val="en-GB"/>
              </w:rPr>
              <w:t>t to interested parties.</w:t>
            </w:r>
          </w:p>
          <w:p w:rsidR="00785E09" w:rsidRDefault="00785E09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B85BFF" w:rsidRPr="003B4CE1" w:rsidRDefault="00B85BFF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tbl>
            <w:tblPr>
              <w:tblStyle w:val="MittlereListe1"/>
              <w:tblW w:w="9062" w:type="dxa"/>
              <w:tblBorders>
                <w:left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/>
            </w:tblPr>
            <w:tblGrid>
              <w:gridCol w:w="3251"/>
              <w:gridCol w:w="5811"/>
            </w:tblGrid>
            <w:tr w:rsidR="00B85BFF" w:rsidRPr="003B4CE1" w:rsidTr="00B85BFF">
              <w:trPr>
                <w:cnfStyle w:val="100000000000"/>
              </w:trPr>
              <w:tc>
                <w:tcPr>
                  <w:cnfStyle w:val="001000000000"/>
                  <w:tcW w:w="32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85BFF" w:rsidRDefault="00B85BFF" w:rsidP="00FC68F8">
                  <w:pPr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WSSA</w:t>
                  </w:r>
                </w:p>
              </w:tc>
              <w:tc>
                <w:tcPr>
                  <w:tcW w:w="581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85BFF" w:rsidRDefault="00B85BFF" w:rsidP="00C6190D">
                  <w:pPr>
                    <w:cnfStyle w:val="100000000000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Water Supply and Sewerage Authority</w:t>
                  </w:r>
                </w:p>
              </w:tc>
            </w:tr>
            <w:tr w:rsidR="0062707F" w:rsidRPr="003B4CE1" w:rsidTr="00785E09">
              <w:trPr>
                <w:cnfStyle w:val="000000100000"/>
              </w:trPr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62707F" w:rsidRPr="003B4CE1" w:rsidRDefault="00B85BFF" w:rsidP="00FC68F8">
                  <w:pPr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WSSA</w:t>
                  </w:r>
                  <w:r w:rsidR="0062707F" w:rsidRPr="003B4CE1">
                    <w:rPr>
                      <w:rFonts w:ascii="Arial" w:hAnsi="Arial" w:cs="Arial"/>
                      <w:lang w:val="en-GB"/>
                    </w:rPr>
                    <w:t xml:space="preserve"> service area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62707F" w:rsidRPr="003B4CE1" w:rsidRDefault="00C6190D" w:rsidP="00C6190D">
                  <w:pPr>
                    <w:cnfStyle w:val="000000100000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 xml:space="preserve">The service area </w:t>
                  </w:r>
                  <w:r w:rsidRPr="00C6190D">
                    <w:rPr>
                      <w:rFonts w:ascii="Arial" w:hAnsi="Arial" w:cs="Arial"/>
                      <w:lang w:val="en-GB"/>
                    </w:rPr>
                    <w:t>means the area within which</w:t>
                  </w:r>
                  <w:r w:rsidR="00B85BFF">
                    <w:rPr>
                      <w:rFonts w:ascii="Arial" w:hAnsi="Arial" w:cs="Arial"/>
                      <w:lang w:val="en-GB"/>
                    </w:rPr>
                    <w:t xml:space="preserve"> the WSSA</w:t>
                  </w:r>
                  <w:r w:rsidRPr="00C6190D">
                    <w:rPr>
                      <w:rFonts w:ascii="Arial" w:hAnsi="Arial" w:cs="Arial"/>
                      <w:lang w:val="en-GB"/>
                    </w:rPr>
                    <w:t xml:space="preserve"> is authorised to operate</w:t>
                  </w:r>
                  <w:r>
                    <w:rPr>
                      <w:rFonts w:ascii="Arial" w:hAnsi="Arial" w:cs="Arial"/>
                      <w:lang w:val="en-GB"/>
                    </w:rPr>
                    <w:t>. The service area is d</w:t>
                  </w:r>
                  <w:r w:rsidR="00B85BFF">
                    <w:rPr>
                      <w:rFonts w:ascii="Arial" w:hAnsi="Arial" w:cs="Arial"/>
                      <w:lang w:val="en-GB"/>
                    </w:rPr>
                    <w:t>efined in the license of the WSSA</w:t>
                  </w:r>
                  <w:r>
                    <w:rPr>
                      <w:rFonts w:ascii="Arial" w:hAnsi="Arial" w:cs="Arial"/>
                      <w:lang w:val="en-GB"/>
                    </w:rPr>
                    <w:t>.</w:t>
                  </w:r>
                </w:p>
              </w:tc>
            </w:tr>
            <w:tr w:rsidR="006C2C6C" w:rsidRPr="003B4CE1" w:rsidTr="00785E09"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6C2C6C" w:rsidRPr="000F4B17" w:rsidRDefault="006C2C6C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lang w:val="en-GB"/>
                    </w:rPr>
                    <w:t>Survey area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6C2C6C" w:rsidRPr="000F4B17" w:rsidRDefault="00B85BFF" w:rsidP="0063104C">
                  <w:pPr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Service area WSSA</w:t>
                  </w:r>
                  <w:r w:rsidR="006C2C6C" w:rsidRPr="000F4B17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="006C2C6C" w:rsidRPr="000F4B17">
                    <w:rPr>
                      <w:rFonts w:ascii="Arial" w:hAnsi="Arial" w:cs="Arial"/>
                      <w:b/>
                      <w:lang w:val="en-GB"/>
                    </w:rPr>
                    <w:t>A</w:t>
                  </w:r>
                  <w:r w:rsidR="00E30389" w:rsidRPr="000F4B17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="006C2C6C" w:rsidRPr="000F4B17">
                    <w:rPr>
                      <w:rFonts w:ascii="Arial" w:hAnsi="Arial" w:cs="Arial"/>
                      <w:lang w:val="en-GB"/>
                    </w:rPr>
                    <w:t xml:space="preserve">+ Buffer zone </w:t>
                  </w:r>
                  <w:r w:rsidR="006C2C6C" w:rsidRPr="000F4B17">
                    <w:rPr>
                      <w:rFonts w:ascii="Arial" w:hAnsi="Arial" w:cs="Arial"/>
                      <w:b/>
                      <w:lang w:val="en-GB"/>
                    </w:rPr>
                    <w:t>B</w:t>
                  </w:r>
                </w:p>
                <w:p w:rsidR="006C2C6C" w:rsidRPr="000F4B17" w:rsidRDefault="006C2C6C" w:rsidP="0063104C">
                  <w:pPr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b/>
                      <w:lang w:val="en-GB"/>
                    </w:rPr>
                    <w:t>A:</w:t>
                  </w:r>
                  <w:r w:rsidR="00B85BFF">
                    <w:rPr>
                      <w:rFonts w:ascii="Arial" w:hAnsi="Arial" w:cs="Arial"/>
                      <w:lang w:val="en-GB"/>
                    </w:rPr>
                    <w:t xml:space="preserve"> Service area of the WSSA</w:t>
                  </w:r>
                  <w:r w:rsidRPr="000F4B17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="00AB0562" w:rsidRPr="000F4B17">
                    <w:rPr>
                      <w:rFonts w:ascii="Arial" w:hAnsi="Arial" w:cs="Arial"/>
                      <w:lang w:val="en-GB"/>
                    </w:rPr>
                    <w:t>plus</w:t>
                  </w:r>
                </w:p>
                <w:p w:rsidR="006C2C6C" w:rsidRPr="000F4B17" w:rsidRDefault="006C2C6C" w:rsidP="0063104C">
                  <w:pPr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b/>
                      <w:lang w:val="en-GB"/>
                    </w:rPr>
                    <w:t>B:</w:t>
                  </w:r>
                  <w:r w:rsidRPr="000F4B17">
                    <w:rPr>
                      <w:rFonts w:ascii="Arial" w:hAnsi="Arial" w:cs="Arial"/>
                      <w:lang w:val="en-GB"/>
                    </w:rPr>
                    <w:t xml:space="preserve"> Buffer zone of 10km </w:t>
                  </w:r>
                  <w:r w:rsidR="00F743D5" w:rsidRPr="000F4B17">
                    <w:rPr>
                      <w:rFonts w:ascii="Arial" w:hAnsi="Arial" w:cs="Arial"/>
                      <w:lang w:val="en-GB"/>
                    </w:rPr>
                    <w:t xml:space="preserve">around service area </w:t>
                  </w:r>
                  <w:r w:rsidRPr="000F4B17">
                    <w:rPr>
                      <w:rFonts w:ascii="Arial" w:hAnsi="Arial" w:cs="Arial"/>
                      <w:lang w:val="en-GB"/>
                    </w:rPr>
                    <w:t>star</w:t>
                  </w:r>
                  <w:r w:rsidR="00F743D5" w:rsidRPr="000F4B17">
                    <w:rPr>
                      <w:rFonts w:ascii="Arial" w:hAnsi="Arial" w:cs="Arial"/>
                      <w:lang w:val="en-GB"/>
                    </w:rPr>
                    <w:t>t</w:t>
                  </w:r>
                  <w:r w:rsidRPr="000F4B17">
                    <w:rPr>
                      <w:rFonts w:ascii="Arial" w:hAnsi="Arial" w:cs="Arial"/>
                      <w:lang w:val="en-GB"/>
                    </w:rPr>
                    <w:t>ing from the service area boundary</w:t>
                  </w:r>
                </w:p>
              </w:tc>
            </w:tr>
            <w:tr w:rsidR="00785E09" w:rsidRPr="003B4CE1" w:rsidTr="00785E09">
              <w:trPr>
                <w:cnfStyle w:val="000000100000"/>
              </w:trPr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0F4B17" w:rsidRDefault="00785E09" w:rsidP="00FC68F8">
                  <w:pPr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lang w:val="en-GB"/>
                    </w:rPr>
                    <w:t>Target area</w:t>
                  </w:r>
                  <w:r w:rsidR="001F6713">
                    <w:rPr>
                      <w:rFonts w:ascii="Arial" w:hAnsi="Arial" w:cs="Arial"/>
                      <w:lang w:val="en-GB"/>
                    </w:rPr>
                    <w:t>s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85E09" w:rsidRPr="000F4B17" w:rsidRDefault="00785E09" w:rsidP="00FC68F8">
                  <w:pPr>
                    <w:cnfStyle w:val="000000100000"/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lang w:val="en-GB"/>
                    </w:rPr>
                    <w:t xml:space="preserve">All low-income </w:t>
                  </w:r>
                  <w:r w:rsidR="00B85BFF">
                    <w:rPr>
                      <w:rFonts w:ascii="Arial" w:hAnsi="Arial" w:cs="Arial"/>
                      <w:lang w:val="en-GB"/>
                    </w:rPr>
                    <w:t xml:space="preserve">urban </w:t>
                  </w:r>
                  <w:r w:rsidRPr="000F4B17">
                    <w:rPr>
                      <w:rFonts w:ascii="Arial" w:hAnsi="Arial" w:cs="Arial"/>
                      <w:lang w:val="en-GB"/>
                    </w:rPr>
                    <w:t>areas (LIAs) inside the survey area (A+B)</w:t>
                  </w:r>
                </w:p>
              </w:tc>
            </w:tr>
            <w:tr w:rsidR="00785E09" w:rsidRPr="003B4CE1" w:rsidTr="00785E09"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0F4B17" w:rsidRDefault="00785E09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lang w:val="en-GB"/>
                    </w:rPr>
                    <w:t>Low-income area (LIA)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85E09" w:rsidRPr="000F4B17" w:rsidRDefault="000F4B17" w:rsidP="00D35416">
                  <w:pPr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lang w:val="en-GB"/>
                    </w:rPr>
                    <w:t xml:space="preserve">An area that meets </w:t>
                  </w:r>
                  <w:r w:rsidR="00D35416">
                    <w:rPr>
                      <w:rFonts w:ascii="Arial" w:hAnsi="Arial" w:cs="Arial"/>
                      <w:lang w:val="en-GB"/>
                    </w:rPr>
                    <w:t>specific</w:t>
                  </w:r>
                  <w:r w:rsidRPr="000F4B17">
                    <w:rPr>
                      <w:rFonts w:ascii="Arial" w:hAnsi="Arial" w:cs="Arial"/>
                      <w:lang w:val="en-GB"/>
                    </w:rPr>
                    <w:t xml:space="preserve"> characteristics</w:t>
                  </w:r>
                  <w:r w:rsidR="00D35416">
                    <w:rPr>
                      <w:rFonts w:ascii="Arial" w:hAnsi="Arial" w:cs="Arial"/>
                      <w:lang w:val="en-GB"/>
                    </w:rPr>
                    <w:t xml:space="preserve"> as specified in the Data Collection Concept Report</w:t>
                  </w:r>
                </w:p>
              </w:tc>
            </w:tr>
            <w:tr w:rsidR="000F4B17" w:rsidRPr="003B4CE1" w:rsidTr="00785E09">
              <w:trPr>
                <w:cnfStyle w:val="000000100000"/>
              </w:trPr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0F4B17" w:rsidRPr="000F4B17" w:rsidRDefault="000F4B17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lang w:val="en-GB"/>
                    </w:rPr>
                    <w:t>Plot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0F4B17" w:rsidRPr="000F4B17" w:rsidRDefault="000F4B17" w:rsidP="0063104C">
                  <w:pPr>
                    <w:cnfStyle w:val="000000100000"/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</w:pPr>
                  <w:r w:rsidRPr="000F4B17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A measured parcel of land having fixed boundaries and/or a number of shared facilities (e.g. toilets)</w:t>
                  </w:r>
                </w:p>
              </w:tc>
            </w:tr>
            <w:tr w:rsidR="000F4B17" w:rsidRPr="003B4CE1" w:rsidTr="00785E09"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0F4B17" w:rsidRPr="000F4B17" w:rsidRDefault="000F4B17" w:rsidP="00B45D6E">
                  <w:pPr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lang w:val="en-GB"/>
                    </w:rPr>
                    <w:t>Dwelling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0F4B17" w:rsidRPr="000F4B17" w:rsidRDefault="001F6713" w:rsidP="00C6190D">
                  <w:pPr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GB" w:eastAsia="de-DE"/>
                    </w:rPr>
                    <w:t>A</w:t>
                  </w:r>
                  <w:r w:rsidR="00C6190D" w:rsidRP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ll the living space occupied by one household regardless of the</w:t>
                  </w:r>
                  <w:r w:rsid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 xml:space="preserve"> </w:t>
                  </w:r>
                  <w:r w:rsidR="00C6190D" w:rsidRP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 xml:space="preserve">physical arrangement of facilities available. It may be one room </w:t>
                  </w:r>
                  <w:r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(</w:t>
                  </w:r>
                  <w:r w:rsidR="00C6190D" w:rsidRP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or more</w:t>
                  </w:r>
                  <w:r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)</w:t>
                  </w:r>
                  <w:r w:rsid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 xml:space="preserve"> </w:t>
                  </w:r>
                  <w:r w:rsidR="00C6190D" w:rsidRP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occupied by lodgers or it may be one, two or more housing units occupied by</w:t>
                  </w:r>
                  <w:r w:rsid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 xml:space="preserve"> </w:t>
                  </w:r>
                  <w:r w:rsidR="00C6190D" w:rsidRP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an extended family.</w:t>
                  </w:r>
                </w:p>
              </w:tc>
            </w:tr>
            <w:tr w:rsidR="00785E09" w:rsidRPr="003B4CE1" w:rsidTr="00785E09">
              <w:trPr>
                <w:cnfStyle w:val="000000100000"/>
              </w:trPr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0F4B17" w:rsidRDefault="00785E09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lang w:val="en-GB"/>
                    </w:rPr>
                    <w:t>Household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85E09" w:rsidRDefault="001F6713" w:rsidP="00C6190D">
                  <w:pPr>
                    <w:cnfStyle w:val="000000100000"/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</w:pPr>
                  <w:r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 xml:space="preserve">A </w:t>
                  </w:r>
                  <w:r w:rsidR="00C6190D" w:rsidRP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socio-economic unit that consists of one or more persons with</w:t>
                  </w:r>
                  <w:r w:rsid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 xml:space="preserve"> </w:t>
                  </w:r>
                  <w:r w:rsidR="00C6190D" w:rsidRP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common living and catering arrangements. Such persons are usually</w:t>
                  </w:r>
                  <w:r w:rsid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 xml:space="preserve"> </w:t>
                  </w:r>
                  <w:r w:rsidR="00C6190D" w:rsidRPr="00C6190D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not always related to each other by blood or by marriage.</w:t>
                  </w:r>
                </w:p>
                <w:p w:rsidR="00C6190D" w:rsidRDefault="00C6190D" w:rsidP="00C6190D">
                  <w:pPr>
                    <w:cnfStyle w:val="000000100000"/>
                    <w:rPr>
                      <w:rFonts w:ascii="Arial" w:hAnsi="Arial" w:cs="Arial"/>
                      <w:lang w:val="en-GB"/>
                    </w:rPr>
                  </w:pPr>
                  <w:r w:rsidRPr="00C6190D">
                    <w:rPr>
                      <w:rFonts w:ascii="Arial" w:hAnsi="Arial" w:cs="Arial"/>
                      <w:lang w:val="en-GB"/>
                    </w:rPr>
                    <w:t>One-person household is a household where a person lives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C6190D">
                    <w:rPr>
                      <w:rFonts w:ascii="Arial" w:hAnsi="Arial" w:cs="Arial"/>
                      <w:lang w:val="en-GB"/>
                    </w:rPr>
                    <w:t>alone in a whole or part of a housing unit and has an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C6190D">
                    <w:rPr>
                      <w:rFonts w:ascii="Arial" w:hAnsi="Arial" w:cs="Arial"/>
                      <w:lang w:val="en-GB"/>
                    </w:rPr>
                    <w:t>independent consumption</w:t>
                  </w:r>
                </w:p>
                <w:p w:rsidR="00C6190D" w:rsidRPr="000F4B17" w:rsidRDefault="00C6190D" w:rsidP="00C6190D">
                  <w:pPr>
                    <w:cnfStyle w:val="000000100000"/>
                    <w:rPr>
                      <w:rFonts w:ascii="Arial" w:hAnsi="Arial" w:cs="Arial"/>
                      <w:lang w:val="en-GB"/>
                    </w:rPr>
                  </w:pPr>
                  <w:r w:rsidRPr="00C6190D">
                    <w:rPr>
                      <w:rFonts w:ascii="Arial" w:hAnsi="Arial" w:cs="Arial"/>
                      <w:lang w:val="en-GB"/>
                    </w:rPr>
                    <w:t>Multi-person household is a household where a group of two or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C6190D">
                    <w:rPr>
                      <w:rFonts w:ascii="Arial" w:hAnsi="Arial" w:cs="Arial"/>
                      <w:lang w:val="en-GB"/>
                    </w:rPr>
                    <w:t>more persons occupy the whole or part of a housing unit and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C6190D">
                    <w:rPr>
                      <w:rFonts w:ascii="Arial" w:hAnsi="Arial" w:cs="Arial"/>
                      <w:lang w:val="en-GB"/>
                    </w:rPr>
                    <w:t>share expenses. Usually, households of this type contain a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C6190D">
                    <w:rPr>
                      <w:rFonts w:ascii="Arial" w:hAnsi="Arial" w:cs="Arial"/>
                      <w:lang w:val="en-GB"/>
                    </w:rPr>
                    <w:t>husband, wife and children. Other relatives, boarders, visitors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C6190D">
                    <w:rPr>
                      <w:rFonts w:ascii="Arial" w:hAnsi="Arial" w:cs="Arial"/>
                      <w:lang w:val="en-GB"/>
                    </w:rPr>
                    <w:t>and other persons are included as members of the household if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C6190D">
                    <w:rPr>
                      <w:rFonts w:ascii="Arial" w:hAnsi="Arial" w:cs="Arial"/>
                      <w:lang w:val="en-GB"/>
                    </w:rPr>
                    <w:t>they pool their resources and share their consumption</w:t>
                  </w:r>
                </w:p>
              </w:tc>
            </w:tr>
            <w:tr w:rsidR="00785E09" w:rsidRPr="003B4CE1" w:rsidTr="00785E09"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0F4B17" w:rsidRDefault="00124F9A" w:rsidP="00124F9A">
                  <w:pPr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Housing b</w:t>
                  </w:r>
                  <w:r w:rsidR="000F4B17" w:rsidRPr="000F4B17">
                    <w:rPr>
                      <w:rFonts w:ascii="Arial" w:hAnsi="Arial" w:cs="Arial"/>
                      <w:lang w:val="en-GB"/>
                    </w:rPr>
                    <w:t>lock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124F9A" w:rsidRPr="000F4B17" w:rsidRDefault="00124F9A" w:rsidP="004C4994">
                  <w:pPr>
                    <w:jc w:val="both"/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 w:rsidRPr="00124F9A">
                    <w:rPr>
                      <w:rFonts w:ascii="Arial" w:hAnsi="Arial" w:cs="Arial"/>
                      <w:lang w:val="en-GB"/>
                    </w:rPr>
                    <w:t xml:space="preserve">A </w:t>
                  </w:r>
                  <w:r>
                    <w:rPr>
                      <w:rFonts w:ascii="Arial" w:hAnsi="Arial" w:cs="Arial"/>
                      <w:lang w:val="en-GB"/>
                    </w:rPr>
                    <w:t>housing</w:t>
                  </w:r>
                  <w:r w:rsidRPr="00124F9A">
                    <w:rPr>
                      <w:rFonts w:ascii="Arial" w:hAnsi="Arial" w:cs="Arial"/>
                      <w:lang w:val="en-GB"/>
                    </w:rPr>
                    <w:t xml:space="preserve"> block, urban block or simply block is a central element of urban planning and urban design. A </w:t>
                  </w:r>
                  <w:r w:rsidR="004C4994">
                    <w:rPr>
                      <w:rFonts w:ascii="Arial" w:hAnsi="Arial" w:cs="Arial"/>
                      <w:lang w:val="en-GB"/>
                    </w:rPr>
                    <w:t>housing</w:t>
                  </w:r>
                  <w:r w:rsidRPr="00124F9A">
                    <w:rPr>
                      <w:rFonts w:ascii="Arial" w:hAnsi="Arial" w:cs="Arial"/>
                      <w:lang w:val="en-GB"/>
                    </w:rPr>
                    <w:t xml:space="preserve"> block is the smallest area that is surrounded by streets</w:t>
                  </w:r>
                  <w:r w:rsidR="004C4994">
                    <w:rPr>
                      <w:rFonts w:ascii="Arial" w:hAnsi="Arial" w:cs="Arial"/>
                      <w:lang w:val="en-GB"/>
                    </w:rPr>
                    <w:t xml:space="preserve"> (or sometimes footpaths)</w:t>
                  </w:r>
                  <w:r w:rsidRPr="00124F9A">
                    <w:rPr>
                      <w:rFonts w:ascii="Arial" w:hAnsi="Arial" w:cs="Arial"/>
                      <w:lang w:val="en-GB"/>
                    </w:rPr>
                    <w:t xml:space="preserve">. </w:t>
                  </w:r>
                  <w:r w:rsidR="004C4994">
                    <w:rPr>
                      <w:rFonts w:ascii="Arial" w:hAnsi="Arial" w:cs="Arial"/>
                      <w:lang w:val="en-GB"/>
                    </w:rPr>
                    <w:t>B</w:t>
                  </w:r>
                  <w:r w:rsidRPr="00124F9A">
                    <w:rPr>
                      <w:rFonts w:ascii="Arial" w:hAnsi="Arial" w:cs="Arial"/>
                      <w:lang w:val="en-GB"/>
                    </w:rPr>
                    <w:t xml:space="preserve">locks are the space for buildings within the street pattern of a </w:t>
                  </w:r>
                  <w:r w:rsidR="004C4994">
                    <w:rPr>
                      <w:rFonts w:ascii="Arial" w:hAnsi="Arial" w:cs="Arial"/>
                      <w:lang w:val="en-GB"/>
                    </w:rPr>
                    <w:t>city or town</w:t>
                  </w:r>
                  <w:r w:rsidR="00B85BFF">
                    <w:rPr>
                      <w:rFonts w:ascii="Arial" w:hAnsi="Arial" w:cs="Arial"/>
                      <w:lang w:val="en-GB"/>
                    </w:rPr>
                    <w:t xml:space="preserve">, </w:t>
                  </w:r>
                  <w:r w:rsidRPr="00124F9A">
                    <w:rPr>
                      <w:rFonts w:ascii="Arial" w:hAnsi="Arial" w:cs="Arial"/>
                      <w:lang w:val="en-GB"/>
                    </w:rPr>
                    <w:t xml:space="preserve">they form the basic unit of a city's urban fabric. </w:t>
                  </w:r>
                </w:p>
              </w:tc>
            </w:tr>
            <w:tr w:rsidR="00785E09" w:rsidRPr="003B4CE1" w:rsidTr="00785E09">
              <w:trPr>
                <w:cnfStyle w:val="000000100000"/>
              </w:trPr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0F4B17" w:rsidRDefault="000F4B17" w:rsidP="000F4B17">
                  <w:pPr>
                    <w:rPr>
                      <w:rFonts w:ascii="Arial" w:hAnsi="Arial" w:cs="Arial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lastRenderedPageBreak/>
                    <w:t>Block of flats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85E09" w:rsidRDefault="000F4B17" w:rsidP="000F4B17">
                  <w:pPr>
                    <w:cnfStyle w:val="000000100000"/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</w:pPr>
                  <w:r w:rsidRPr="000F4B17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A block consisting of flats (multi-</w:t>
                  </w:r>
                  <w:r w:rsidR="0042261C" w:rsidRPr="000F4B17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storied</w:t>
                  </w:r>
                  <w:r w:rsidRPr="000F4B17">
                    <w:rPr>
                      <w:rFonts w:ascii="Arial" w:hAnsi="Arial" w:cs="Arial"/>
                      <w:color w:val="000000"/>
                      <w:sz w:val="26"/>
                      <w:szCs w:val="26"/>
                      <w:lang w:val="en-US" w:eastAsia="de-DE"/>
                    </w:rPr>
                    <w:t>).</w:t>
                  </w:r>
                </w:p>
                <w:p w:rsidR="001F6713" w:rsidRPr="000F4B17" w:rsidRDefault="001F6713" w:rsidP="000F4B17">
                  <w:pPr>
                    <w:cnfStyle w:val="000000100000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785E09" w:rsidRPr="003B4CE1" w:rsidTr="00785E09"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3B4CE1" w:rsidRDefault="000F4B17" w:rsidP="0063104C">
                  <w:pPr>
                    <w:rPr>
                      <w:rFonts w:ascii="Arial" w:hAnsi="Arial" w:cs="Arial"/>
                      <w:highlight w:val="yellow"/>
                      <w:lang w:val="en-GB"/>
                    </w:rPr>
                  </w:pPr>
                  <w:r w:rsidRPr="000F4B17">
                    <w:rPr>
                      <w:rFonts w:ascii="Arial" w:hAnsi="Arial" w:cs="Arial"/>
                      <w:lang w:val="en-GB"/>
                    </w:rPr>
                    <w:t>Informal service provider</w:t>
                  </w:r>
                  <w:r w:rsidR="001F6713">
                    <w:rPr>
                      <w:rFonts w:ascii="Arial" w:hAnsi="Arial" w:cs="Arial"/>
                      <w:lang w:val="en-GB"/>
                    </w:rPr>
                    <w:t>s</w:t>
                  </w:r>
                  <w:r w:rsidRPr="000F4B17">
                    <w:rPr>
                      <w:rFonts w:ascii="Arial" w:hAnsi="Arial" w:cs="Arial"/>
                      <w:lang w:val="en-GB"/>
                    </w:rPr>
                    <w:t xml:space="preserve"> (ISP</w:t>
                  </w:r>
                  <w:r w:rsidR="001F6713">
                    <w:rPr>
                      <w:rFonts w:ascii="Arial" w:hAnsi="Arial" w:cs="Arial"/>
                      <w:lang w:val="en-GB"/>
                    </w:rPr>
                    <w:t>s</w:t>
                  </w:r>
                  <w:r w:rsidRPr="000F4B17">
                    <w:rPr>
                      <w:rFonts w:ascii="Arial" w:hAnsi="Arial" w:cs="Arial"/>
                      <w:lang w:val="en-GB"/>
                    </w:rPr>
                    <w:t>)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85E09" w:rsidRPr="003B4CE1" w:rsidRDefault="000F4B17" w:rsidP="00796C71">
                  <w:pPr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All WSP that are not licensed by EWURA</w:t>
                  </w:r>
                </w:p>
              </w:tc>
            </w:tr>
            <w:tr w:rsidR="00785E09" w:rsidRPr="003B4CE1" w:rsidTr="00785E09">
              <w:trPr>
                <w:cnfStyle w:val="000000100000"/>
              </w:trPr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1F6713" w:rsidRDefault="001A4213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Planned area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85E09" w:rsidRPr="001F6713" w:rsidRDefault="00796C71" w:rsidP="00C8479D">
                  <w:pPr>
                    <w:cnfStyle w:val="000000100000"/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The layout of the area was guided by urban planning</w:t>
                  </w:r>
                  <w:r w:rsidR="00C8479D" w:rsidRPr="001F6713">
                    <w:rPr>
                      <w:rFonts w:ascii="Arial" w:hAnsi="Arial" w:cs="Arial"/>
                      <w:lang w:val="en-GB"/>
                    </w:rPr>
                    <w:t xml:space="preserve"> and construction of houses followed building codes and regulations.</w:t>
                  </w:r>
                </w:p>
              </w:tc>
            </w:tr>
            <w:tr w:rsidR="00785E09" w:rsidRPr="003B4CE1" w:rsidTr="00785E09"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1F6713" w:rsidRDefault="001A4213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Legal area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85E09" w:rsidRPr="001F6713" w:rsidRDefault="00C8479D" w:rsidP="0063104C">
                  <w:pPr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 xml:space="preserve">The area is legally recognised by the </w:t>
                  </w:r>
                  <w:r w:rsidR="007A6775" w:rsidRPr="001F6713">
                    <w:rPr>
                      <w:rFonts w:ascii="Arial" w:hAnsi="Arial" w:cs="Arial"/>
                      <w:lang w:val="en-GB"/>
                    </w:rPr>
                    <w:t>local authorities.</w:t>
                  </w:r>
                </w:p>
              </w:tc>
            </w:tr>
            <w:tr w:rsidR="001A4213" w:rsidRPr="003B4CE1" w:rsidTr="00785E09">
              <w:trPr>
                <w:cnfStyle w:val="000000100000"/>
              </w:trPr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1A4213" w:rsidRPr="001F6713" w:rsidRDefault="001A4213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Illegal area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1A4213" w:rsidRPr="001F6713" w:rsidRDefault="00C8479D" w:rsidP="007A6775">
                  <w:pPr>
                    <w:cnfStyle w:val="000000100000"/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 xml:space="preserve">The area is not officially recognised by the </w:t>
                  </w:r>
                  <w:r w:rsidR="007A6775" w:rsidRPr="001F6713">
                    <w:rPr>
                      <w:rFonts w:ascii="Arial" w:hAnsi="Arial" w:cs="Arial"/>
                      <w:lang w:val="en-GB"/>
                    </w:rPr>
                    <w:t>local authorities.</w:t>
                  </w:r>
                </w:p>
              </w:tc>
            </w:tr>
            <w:tr w:rsidR="00785E09" w:rsidRPr="003B4CE1" w:rsidTr="00785E09"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1F6713" w:rsidRDefault="000F4B17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Informal Settlement: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A6775" w:rsidRPr="001F6713" w:rsidRDefault="001F6713" w:rsidP="0034170B">
                  <w:pPr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U</w:t>
                  </w:r>
                  <w:r w:rsidR="007A6775" w:rsidRPr="001F6713">
                    <w:rPr>
                      <w:rFonts w:ascii="Arial" w:hAnsi="Arial" w:cs="Arial"/>
                      <w:lang w:val="en-GB"/>
                    </w:rPr>
                    <w:t xml:space="preserve">nplanned, often illegal, urban settlements with high population densities, poor service levels, and </w:t>
                  </w:r>
                  <w:r w:rsidR="0034170B" w:rsidRPr="001F6713">
                    <w:rPr>
                      <w:rFonts w:ascii="Arial" w:hAnsi="Arial" w:cs="Arial"/>
                      <w:lang w:val="en-GB"/>
                    </w:rPr>
                    <w:t>a haphazard layout</w:t>
                  </w:r>
                  <w:r w:rsidR="007A6775" w:rsidRPr="001F6713">
                    <w:rPr>
                      <w:rFonts w:ascii="Arial" w:hAnsi="Arial" w:cs="Arial"/>
                      <w:lang w:val="en-GB"/>
                    </w:rPr>
                    <w:t>.</w:t>
                  </w:r>
                  <w:r w:rsidR="0034170B" w:rsidRPr="001F6713">
                    <w:rPr>
                      <w:rFonts w:ascii="Arial" w:hAnsi="Arial" w:cs="Arial"/>
                      <w:lang w:val="en-GB"/>
                    </w:rPr>
                    <w:t xml:space="preserve"> Dwellings </w:t>
                  </w:r>
                  <w:r w:rsidR="00C8479D" w:rsidRPr="001F6713">
                    <w:rPr>
                      <w:rFonts w:ascii="Arial" w:hAnsi="Arial" w:cs="Arial"/>
                      <w:lang w:val="en-GB"/>
                    </w:rPr>
                    <w:t>have been built without a permit on land which has not been zoned for residential use</w:t>
                  </w:r>
                  <w:r w:rsidR="0034170B" w:rsidRPr="001F6713">
                    <w:rPr>
                      <w:rFonts w:ascii="Arial" w:hAnsi="Arial" w:cs="Arial"/>
                      <w:lang w:val="en-GB"/>
                    </w:rPr>
                    <w:t>. Generally, residents do not have a right of tenure.</w:t>
                  </w:r>
                </w:p>
              </w:tc>
            </w:tr>
            <w:tr w:rsidR="00796C71" w:rsidRPr="003B4CE1" w:rsidTr="00785E09">
              <w:trPr>
                <w:cnfStyle w:val="000000100000"/>
              </w:trPr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96C71" w:rsidRPr="001F6713" w:rsidRDefault="00796C71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Slum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96C71" w:rsidRPr="001F6713" w:rsidRDefault="001F6713" w:rsidP="001F6713">
                  <w:pPr>
                    <w:cnfStyle w:val="000000100000"/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A</w:t>
                  </w:r>
                  <w:r w:rsidR="00796C71" w:rsidRPr="001F6713">
                    <w:rPr>
                      <w:rFonts w:ascii="Arial" w:hAnsi="Arial" w:cs="Arial"/>
                      <w:lang w:val="en-GB"/>
                    </w:rPr>
                    <w:t xml:space="preserve"> run-down </w:t>
                  </w:r>
                  <w:r w:rsidRPr="001F6713">
                    <w:rPr>
                      <w:rFonts w:ascii="Arial" w:hAnsi="Arial" w:cs="Arial"/>
                      <w:lang w:val="en-GB"/>
                    </w:rPr>
                    <w:t xml:space="preserve">urban </w:t>
                  </w:r>
                  <w:r w:rsidR="00796C71" w:rsidRPr="001F6713">
                    <w:rPr>
                      <w:rFonts w:ascii="Arial" w:hAnsi="Arial" w:cs="Arial"/>
                      <w:lang w:val="en-GB"/>
                    </w:rPr>
                    <w:t>area characterized b</w:t>
                  </w:r>
                  <w:r w:rsidRPr="001F6713">
                    <w:rPr>
                      <w:rFonts w:ascii="Arial" w:hAnsi="Arial" w:cs="Arial"/>
                      <w:lang w:val="en-GB"/>
                    </w:rPr>
                    <w:t>y substandard housing and squatte</w:t>
                  </w:r>
                  <w:r w:rsidR="00796C71" w:rsidRPr="001F6713">
                    <w:rPr>
                      <w:rFonts w:ascii="Arial" w:hAnsi="Arial" w:cs="Arial"/>
                      <w:lang w:val="en-GB"/>
                    </w:rPr>
                    <w:t>r</w:t>
                  </w:r>
                  <w:r w:rsidRPr="001F6713">
                    <w:rPr>
                      <w:rFonts w:ascii="Arial" w:hAnsi="Arial" w:cs="Arial"/>
                      <w:lang w:val="en-GB"/>
                    </w:rPr>
                    <w:t>, and lacking in tenure security, as defined by the United Nations agency UN-HABITAT.</w:t>
                  </w:r>
                </w:p>
              </w:tc>
            </w:tr>
            <w:tr w:rsidR="00785E09" w:rsidRPr="003B4CE1" w:rsidTr="00785E09">
              <w:tc>
                <w:tcPr>
                  <w:cnfStyle w:val="001000000000"/>
                  <w:tcW w:w="3251" w:type="dxa"/>
                  <w:shd w:val="clear" w:color="auto" w:fill="auto"/>
                </w:tcPr>
                <w:p w:rsidR="00785E09" w:rsidRPr="001F6713" w:rsidRDefault="00785E09" w:rsidP="0063104C">
                  <w:pPr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Sample size:</w:t>
                  </w:r>
                </w:p>
              </w:tc>
              <w:tc>
                <w:tcPr>
                  <w:tcW w:w="5811" w:type="dxa"/>
                  <w:shd w:val="clear" w:color="auto" w:fill="auto"/>
                </w:tcPr>
                <w:p w:rsidR="00785E09" w:rsidRPr="001F6713" w:rsidRDefault="005C6D85" w:rsidP="0063104C">
                  <w:pPr>
                    <w:cnfStyle w:val="000000000000"/>
                    <w:rPr>
                      <w:rFonts w:ascii="Arial" w:hAnsi="Arial" w:cs="Arial"/>
                      <w:lang w:val="en-GB"/>
                    </w:rPr>
                  </w:pPr>
                  <w:r w:rsidRPr="001F6713">
                    <w:rPr>
                      <w:rFonts w:ascii="Arial" w:hAnsi="Arial" w:cs="Arial"/>
                      <w:lang w:val="en-GB"/>
                    </w:rPr>
                    <w:t>The number of sample units to be included in the sample.</w:t>
                  </w:r>
                </w:p>
              </w:tc>
            </w:tr>
          </w:tbl>
          <w:p w:rsidR="004E0933" w:rsidRPr="003B4CE1" w:rsidRDefault="004E0933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0F4B17" w:rsidRPr="003B4CE1" w:rsidRDefault="000F4B17">
      <w:pPr>
        <w:rPr>
          <w:lang w:val="en-GB"/>
        </w:rPr>
      </w:pPr>
    </w:p>
    <w:sectPr w:rsidR="000F4B17" w:rsidRPr="003B4CE1" w:rsidSect="004E0933">
      <w:headerReference w:type="default" r:id="rId7"/>
      <w:footerReference w:type="default" r:id="rId8"/>
      <w:type w:val="continuous"/>
      <w:pgSz w:w="11906" w:h="16838" w:code="9"/>
      <w:pgMar w:top="1134" w:right="1418" w:bottom="1134" w:left="1418" w:header="709" w:footer="28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D42" w:rsidRDefault="00BF0D42">
      <w:r>
        <w:separator/>
      </w:r>
    </w:p>
  </w:endnote>
  <w:endnote w:type="continuationSeparator" w:id="0">
    <w:p w:rsidR="00BF0D42" w:rsidRDefault="00BF0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4A0"/>
    </w:tblPr>
    <w:tblGrid>
      <w:gridCol w:w="3199"/>
      <w:gridCol w:w="3204"/>
      <w:gridCol w:w="2883"/>
    </w:tblGrid>
    <w:tr w:rsidR="00354AEB" w:rsidRPr="00354AEB" w:rsidTr="00354AEB">
      <w:tc>
        <w:tcPr>
          <w:tcW w:w="4903" w:type="dxa"/>
        </w:tcPr>
        <w:p w:rsidR="00E008C2" w:rsidRPr="00354AEB" w:rsidRDefault="00E008C2" w:rsidP="00354AEB">
          <w:pPr>
            <w:pStyle w:val="Fuzeile"/>
            <w:spacing w:before="120" w:after="60"/>
            <w:rPr>
              <w:rFonts w:ascii="Arial" w:hAnsi="Arial" w:cs="Arial"/>
              <w:sz w:val="18"/>
              <w:szCs w:val="18"/>
            </w:rPr>
          </w:pPr>
          <w:r w:rsidRPr="00354AEB">
            <w:rPr>
              <w:rFonts w:ascii="Arial" w:hAnsi="Arial" w:cs="Arial"/>
              <w:sz w:val="18"/>
              <w:szCs w:val="18"/>
            </w:rPr>
            <w:t>Bas</w:t>
          </w:r>
          <w:r w:rsidR="004E0933">
            <w:rPr>
              <w:rFonts w:ascii="Arial" w:hAnsi="Arial" w:cs="Arial"/>
              <w:sz w:val="18"/>
              <w:szCs w:val="18"/>
            </w:rPr>
            <w:t xml:space="preserve">eline Study of Low-Income Urban </w:t>
          </w:r>
          <w:r w:rsidRPr="00354AEB">
            <w:rPr>
              <w:rFonts w:ascii="Arial" w:hAnsi="Arial" w:cs="Arial"/>
              <w:sz w:val="18"/>
              <w:szCs w:val="18"/>
            </w:rPr>
            <w:t>Areas in Tanzania</w:t>
          </w:r>
        </w:p>
      </w:tc>
      <w:tc>
        <w:tcPr>
          <w:tcW w:w="4903" w:type="dxa"/>
        </w:tcPr>
        <w:p w:rsidR="00E008C2" w:rsidRPr="00354AEB" w:rsidRDefault="004E0933" w:rsidP="00354AEB">
          <w:pPr>
            <w:pStyle w:val="Fuzeile"/>
            <w:spacing w:before="120" w:after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Sheet 1</w:t>
          </w:r>
          <w:r w:rsidR="006966C8"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>Definition</w:t>
          </w:r>
          <w:r w:rsidR="00E008C2" w:rsidRPr="00354AEB">
            <w:rPr>
              <w:rFonts w:ascii="Arial" w:hAnsi="Arial" w:cs="Arial"/>
              <w:sz w:val="18"/>
              <w:szCs w:val="18"/>
            </w:rPr>
            <w:t xml:space="preserve"> Sheet</w:t>
          </w:r>
        </w:p>
      </w:tc>
      <w:tc>
        <w:tcPr>
          <w:tcW w:w="4904" w:type="dxa"/>
        </w:tcPr>
        <w:p w:rsidR="00E008C2" w:rsidRPr="00354AEB" w:rsidRDefault="00E008C2" w:rsidP="00354AEB">
          <w:pPr>
            <w:pStyle w:val="Fuzeile"/>
            <w:tabs>
              <w:tab w:val="clear" w:pos="4536"/>
            </w:tabs>
            <w:spacing w:before="120" w:after="60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:rsidR="00DB0158" w:rsidRPr="00E008C2" w:rsidRDefault="00DB0158" w:rsidP="00E008C2">
    <w:pPr>
      <w:pStyle w:val="Fuzeil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D42" w:rsidRDefault="00BF0D42">
      <w:r>
        <w:separator/>
      </w:r>
    </w:p>
  </w:footnote>
  <w:footnote w:type="continuationSeparator" w:id="0">
    <w:p w:rsidR="00BF0D42" w:rsidRDefault="00BF0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58" w:rsidRPr="00277A53" w:rsidRDefault="00B85BFF" w:rsidP="00431C7E">
    <w:pPr>
      <w:pStyle w:val="Kopfzeile"/>
      <w:pBdr>
        <w:bottom w:val="single" w:sz="4" w:space="1" w:color="auto"/>
      </w:pBdr>
      <w:jc w:val="right"/>
      <w:rPr>
        <w:rFonts w:ascii="Arial" w:hAnsi="Arial"/>
        <w:sz w:val="28"/>
        <w:lang w:val="en-GB"/>
      </w:rPr>
    </w:pPr>
    <w:r>
      <w:rPr>
        <w:rFonts w:ascii="Arial" w:hAnsi="Arial"/>
        <w:noProof/>
        <w:sz w:val="28"/>
        <w:lang w:val="de-DE" w:eastAsia="de-DE"/>
      </w:rPr>
      <w:drawing>
        <wp:inline distT="0" distB="0" distL="0" distR="0">
          <wp:extent cx="2752725" cy="333375"/>
          <wp:effectExtent l="19050" t="0" r="9525" b="0"/>
          <wp:docPr id="2" name="Bild 1" descr="C:\Dokumente und Einstellungen\aschoepe\Desktop\9_Arbeitsordner AS 2010\Administration\Logos\Alle Logos in Reih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e und Einstellungen\aschoepe\Desktop\9_Arbeitsordner AS 2010\Administration\Logos\Alle Logos in Reih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10D3"/>
    <w:multiLevelType w:val="hybridMultilevel"/>
    <w:tmpl w:val="1D66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B37FA"/>
    <w:multiLevelType w:val="multilevel"/>
    <w:tmpl w:val="21A28C1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9527E5"/>
    <w:rsid w:val="00000543"/>
    <w:rsid w:val="000027E2"/>
    <w:rsid w:val="00026B51"/>
    <w:rsid w:val="00035EA9"/>
    <w:rsid w:val="00052D4C"/>
    <w:rsid w:val="00064776"/>
    <w:rsid w:val="00066D00"/>
    <w:rsid w:val="00071CD1"/>
    <w:rsid w:val="00077055"/>
    <w:rsid w:val="00093806"/>
    <w:rsid w:val="000A0C5F"/>
    <w:rsid w:val="000A3677"/>
    <w:rsid w:val="000A5007"/>
    <w:rsid w:val="000C0BFD"/>
    <w:rsid w:val="000D1E7B"/>
    <w:rsid w:val="000F37B8"/>
    <w:rsid w:val="000F4B17"/>
    <w:rsid w:val="000F73CE"/>
    <w:rsid w:val="0010043D"/>
    <w:rsid w:val="00114366"/>
    <w:rsid w:val="00115F94"/>
    <w:rsid w:val="00124F9A"/>
    <w:rsid w:val="00136718"/>
    <w:rsid w:val="0015281C"/>
    <w:rsid w:val="00162C5D"/>
    <w:rsid w:val="0016548A"/>
    <w:rsid w:val="0016733D"/>
    <w:rsid w:val="001A4213"/>
    <w:rsid w:val="001A5240"/>
    <w:rsid w:val="001E2C44"/>
    <w:rsid w:val="001F4295"/>
    <w:rsid w:val="001F6713"/>
    <w:rsid w:val="0020583C"/>
    <w:rsid w:val="00221169"/>
    <w:rsid w:val="00226D39"/>
    <w:rsid w:val="00234F8F"/>
    <w:rsid w:val="00235875"/>
    <w:rsid w:val="002437B4"/>
    <w:rsid w:val="00246406"/>
    <w:rsid w:val="00246BAC"/>
    <w:rsid w:val="00250774"/>
    <w:rsid w:val="00256FCD"/>
    <w:rsid w:val="002617D1"/>
    <w:rsid w:val="00277A53"/>
    <w:rsid w:val="002A2655"/>
    <w:rsid w:val="002B0976"/>
    <w:rsid w:val="002D1159"/>
    <w:rsid w:val="002D1CCC"/>
    <w:rsid w:val="002E112C"/>
    <w:rsid w:val="003220F3"/>
    <w:rsid w:val="00324E8A"/>
    <w:rsid w:val="00330C58"/>
    <w:rsid w:val="0034170B"/>
    <w:rsid w:val="00354AEB"/>
    <w:rsid w:val="00363ED9"/>
    <w:rsid w:val="003666E1"/>
    <w:rsid w:val="003708C8"/>
    <w:rsid w:val="00370EFC"/>
    <w:rsid w:val="003A53B0"/>
    <w:rsid w:val="003A7A7B"/>
    <w:rsid w:val="003B4CE1"/>
    <w:rsid w:val="003C5820"/>
    <w:rsid w:val="003C6DCB"/>
    <w:rsid w:val="003D0177"/>
    <w:rsid w:val="003D04C9"/>
    <w:rsid w:val="003E6962"/>
    <w:rsid w:val="00400B62"/>
    <w:rsid w:val="00401032"/>
    <w:rsid w:val="00420F67"/>
    <w:rsid w:val="0042261C"/>
    <w:rsid w:val="00424DE0"/>
    <w:rsid w:val="00431C7E"/>
    <w:rsid w:val="00442AFA"/>
    <w:rsid w:val="00457EF8"/>
    <w:rsid w:val="0046522A"/>
    <w:rsid w:val="00494F59"/>
    <w:rsid w:val="004970D5"/>
    <w:rsid w:val="004B33D4"/>
    <w:rsid w:val="004B6A83"/>
    <w:rsid w:val="004C4994"/>
    <w:rsid w:val="004C6A2E"/>
    <w:rsid w:val="004E0933"/>
    <w:rsid w:val="004F6ADC"/>
    <w:rsid w:val="00504B4A"/>
    <w:rsid w:val="0051349F"/>
    <w:rsid w:val="00521587"/>
    <w:rsid w:val="00524255"/>
    <w:rsid w:val="00530547"/>
    <w:rsid w:val="00554916"/>
    <w:rsid w:val="00554DD2"/>
    <w:rsid w:val="005614DE"/>
    <w:rsid w:val="00564809"/>
    <w:rsid w:val="00576D57"/>
    <w:rsid w:val="00585357"/>
    <w:rsid w:val="00591233"/>
    <w:rsid w:val="005A3DE4"/>
    <w:rsid w:val="005B0412"/>
    <w:rsid w:val="005B6D8F"/>
    <w:rsid w:val="005C1C5A"/>
    <w:rsid w:val="005C6D85"/>
    <w:rsid w:val="005E2ECF"/>
    <w:rsid w:val="00612129"/>
    <w:rsid w:val="00616D1D"/>
    <w:rsid w:val="0062707F"/>
    <w:rsid w:val="00653A39"/>
    <w:rsid w:val="0065591A"/>
    <w:rsid w:val="00665760"/>
    <w:rsid w:val="006658A2"/>
    <w:rsid w:val="00666E5F"/>
    <w:rsid w:val="00677364"/>
    <w:rsid w:val="00695DFE"/>
    <w:rsid w:val="00695EB2"/>
    <w:rsid w:val="006966C8"/>
    <w:rsid w:val="0069787D"/>
    <w:rsid w:val="006A7667"/>
    <w:rsid w:val="006B46F8"/>
    <w:rsid w:val="006C1B0E"/>
    <w:rsid w:val="006C2C6C"/>
    <w:rsid w:val="006C7A8B"/>
    <w:rsid w:val="006D5C9F"/>
    <w:rsid w:val="006E5567"/>
    <w:rsid w:val="006E55F4"/>
    <w:rsid w:val="006E7A3E"/>
    <w:rsid w:val="006E7D7C"/>
    <w:rsid w:val="00710C4E"/>
    <w:rsid w:val="007351F8"/>
    <w:rsid w:val="00737DC6"/>
    <w:rsid w:val="00762FF7"/>
    <w:rsid w:val="007640A5"/>
    <w:rsid w:val="00766D18"/>
    <w:rsid w:val="00767162"/>
    <w:rsid w:val="007747B1"/>
    <w:rsid w:val="00780945"/>
    <w:rsid w:val="00785E09"/>
    <w:rsid w:val="00796C71"/>
    <w:rsid w:val="007A2627"/>
    <w:rsid w:val="007A3E88"/>
    <w:rsid w:val="007A6775"/>
    <w:rsid w:val="007B4153"/>
    <w:rsid w:val="007B580D"/>
    <w:rsid w:val="007C77C4"/>
    <w:rsid w:val="007E3FBF"/>
    <w:rsid w:val="007E5816"/>
    <w:rsid w:val="008004BC"/>
    <w:rsid w:val="00810984"/>
    <w:rsid w:val="008117FD"/>
    <w:rsid w:val="00814D03"/>
    <w:rsid w:val="008318E0"/>
    <w:rsid w:val="00843004"/>
    <w:rsid w:val="00843829"/>
    <w:rsid w:val="00855D6D"/>
    <w:rsid w:val="008675C2"/>
    <w:rsid w:val="00870389"/>
    <w:rsid w:val="00877CD8"/>
    <w:rsid w:val="008947C1"/>
    <w:rsid w:val="008A4FC9"/>
    <w:rsid w:val="008A66C8"/>
    <w:rsid w:val="008B348C"/>
    <w:rsid w:val="008C1EA7"/>
    <w:rsid w:val="008C3F8F"/>
    <w:rsid w:val="008D13F0"/>
    <w:rsid w:val="008D170B"/>
    <w:rsid w:val="008E0A50"/>
    <w:rsid w:val="008F2010"/>
    <w:rsid w:val="0090284A"/>
    <w:rsid w:val="00910380"/>
    <w:rsid w:val="00912670"/>
    <w:rsid w:val="00951CBB"/>
    <w:rsid w:val="009527E5"/>
    <w:rsid w:val="00954DF4"/>
    <w:rsid w:val="00960F88"/>
    <w:rsid w:val="00973823"/>
    <w:rsid w:val="00996BB1"/>
    <w:rsid w:val="009B58C9"/>
    <w:rsid w:val="009C0138"/>
    <w:rsid w:val="009E5692"/>
    <w:rsid w:val="009E5FFE"/>
    <w:rsid w:val="00A1153F"/>
    <w:rsid w:val="00A202BA"/>
    <w:rsid w:val="00A24456"/>
    <w:rsid w:val="00A26AD8"/>
    <w:rsid w:val="00A30989"/>
    <w:rsid w:val="00A366F9"/>
    <w:rsid w:val="00A4597F"/>
    <w:rsid w:val="00A5353E"/>
    <w:rsid w:val="00A630E4"/>
    <w:rsid w:val="00A64A32"/>
    <w:rsid w:val="00A7540B"/>
    <w:rsid w:val="00A81C2B"/>
    <w:rsid w:val="00A83DB4"/>
    <w:rsid w:val="00A90B42"/>
    <w:rsid w:val="00A90FCD"/>
    <w:rsid w:val="00A91825"/>
    <w:rsid w:val="00A9684A"/>
    <w:rsid w:val="00AA0A84"/>
    <w:rsid w:val="00AA44EE"/>
    <w:rsid w:val="00AB0562"/>
    <w:rsid w:val="00AC03BB"/>
    <w:rsid w:val="00AC4FF1"/>
    <w:rsid w:val="00AD5734"/>
    <w:rsid w:val="00AD5E4B"/>
    <w:rsid w:val="00AD74A2"/>
    <w:rsid w:val="00AE024A"/>
    <w:rsid w:val="00AF0F84"/>
    <w:rsid w:val="00B031BD"/>
    <w:rsid w:val="00B1309D"/>
    <w:rsid w:val="00B13626"/>
    <w:rsid w:val="00B337DD"/>
    <w:rsid w:val="00B3690F"/>
    <w:rsid w:val="00B51418"/>
    <w:rsid w:val="00B55E5B"/>
    <w:rsid w:val="00B66F65"/>
    <w:rsid w:val="00B76585"/>
    <w:rsid w:val="00B82F02"/>
    <w:rsid w:val="00B8313F"/>
    <w:rsid w:val="00B85BFF"/>
    <w:rsid w:val="00B87D76"/>
    <w:rsid w:val="00BA63D8"/>
    <w:rsid w:val="00BB68BB"/>
    <w:rsid w:val="00BB6DFD"/>
    <w:rsid w:val="00BC022B"/>
    <w:rsid w:val="00BC41EB"/>
    <w:rsid w:val="00BF0D42"/>
    <w:rsid w:val="00BF14F3"/>
    <w:rsid w:val="00BF2A89"/>
    <w:rsid w:val="00BF4AB3"/>
    <w:rsid w:val="00BF6A2C"/>
    <w:rsid w:val="00C05949"/>
    <w:rsid w:val="00C124D8"/>
    <w:rsid w:val="00C14804"/>
    <w:rsid w:val="00C17C69"/>
    <w:rsid w:val="00C20989"/>
    <w:rsid w:val="00C22581"/>
    <w:rsid w:val="00C333DA"/>
    <w:rsid w:val="00C36177"/>
    <w:rsid w:val="00C5298F"/>
    <w:rsid w:val="00C57B7E"/>
    <w:rsid w:val="00C6190D"/>
    <w:rsid w:val="00C8479D"/>
    <w:rsid w:val="00C9523C"/>
    <w:rsid w:val="00CA35FF"/>
    <w:rsid w:val="00CB19E3"/>
    <w:rsid w:val="00CC2FA6"/>
    <w:rsid w:val="00CD44DF"/>
    <w:rsid w:val="00CD6675"/>
    <w:rsid w:val="00CD6BF4"/>
    <w:rsid w:val="00CE01BF"/>
    <w:rsid w:val="00CE0CB7"/>
    <w:rsid w:val="00D04F3A"/>
    <w:rsid w:val="00D24FF8"/>
    <w:rsid w:val="00D30E58"/>
    <w:rsid w:val="00D34780"/>
    <w:rsid w:val="00D35416"/>
    <w:rsid w:val="00D5601A"/>
    <w:rsid w:val="00D63103"/>
    <w:rsid w:val="00D85149"/>
    <w:rsid w:val="00D92807"/>
    <w:rsid w:val="00DB0158"/>
    <w:rsid w:val="00DD57FC"/>
    <w:rsid w:val="00DF25DF"/>
    <w:rsid w:val="00DF69AC"/>
    <w:rsid w:val="00DF7AE3"/>
    <w:rsid w:val="00E008C2"/>
    <w:rsid w:val="00E02D47"/>
    <w:rsid w:val="00E051EA"/>
    <w:rsid w:val="00E128D6"/>
    <w:rsid w:val="00E14CDD"/>
    <w:rsid w:val="00E27737"/>
    <w:rsid w:val="00E27AF8"/>
    <w:rsid w:val="00E27EA7"/>
    <w:rsid w:val="00E30389"/>
    <w:rsid w:val="00E327B1"/>
    <w:rsid w:val="00E635C4"/>
    <w:rsid w:val="00E7637D"/>
    <w:rsid w:val="00EC5E54"/>
    <w:rsid w:val="00ED5937"/>
    <w:rsid w:val="00EE02E2"/>
    <w:rsid w:val="00EE16C5"/>
    <w:rsid w:val="00EE2A6C"/>
    <w:rsid w:val="00EE55B7"/>
    <w:rsid w:val="00EF4200"/>
    <w:rsid w:val="00F01BC3"/>
    <w:rsid w:val="00F1035A"/>
    <w:rsid w:val="00F130BC"/>
    <w:rsid w:val="00F256B2"/>
    <w:rsid w:val="00F43AE4"/>
    <w:rsid w:val="00F44E8F"/>
    <w:rsid w:val="00F45845"/>
    <w:rsid w:val="00F473FF"/>
    <w:rsid w:val="00F743D5"/>
    <w:rsid w:val="00F80895"/>
    <w:rsid w:val="00F80B74"/>
    <w:rsid w:val="00FB7785"/>
    <w:rsid w:val="00FB780C"/>
    <w:rsid w:val="00FC089F"/>
    <w:rsid w:val="00FD6EEA"/>
    <w:rsid w:val="00FE2537"/>
    <w:rsid w:val="00FE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4DE0"/>
    <w:rPr>
      <w:sz w:val="24"/>
      <w:szCs w:val="24"/>
      <w:lang w:val="nl-NL" w:eastAsia="nl-NL"/>
    </w:rPr>
  </w:style>
  <w:style w:type="paragraph" w:styleId="berschrift1">
    <w:name w:val="heading 1"/>
    <w:basedOn w:val="Standard"/>
    <w:next w:val="Standard"/>
    <w:link w:val="berschrift1Zchn"/>
    <w:qFormat/>
    <w:rsid w:val="0010043D"/>
    <w:pPr>
      <w:keepNext/>
      <w:numPr>
        <w:numId w:val="1"/>
      </w:numPr>
      <w:spacing w:before="240" w:after="60"/>
      <w:jc w:val="both"/>
      <w:outlineLvl w:val="0"/>
    </w:pPr>
    <w:rPr>
      <w:rFonts w:ascii="Arial" w:hAnsi="Arial" w:cs="Arial"/>
      <w:b/>
      <w:bCs/>
      <w:color w:val="000000"/>
      <w:kern w:val="32"/>
      <w:szCs w:val="32"/>
      <w:lang w:val="en-GB" w:eastAsia="de-DE"/>
    </w:rPr>
  </w:style>
  <w:style w:type="paragraph" w:styleId="berschrift2">
    <w:name w:val="heading 2"/>
    <w:basedOn w:val="Standard"/>
    <w:next w:val="Standard"/>
    <w:link w:val="berschrift2Zchn"/>
    <w:qFormat/>
    <w:rsid w:val="0010043D"/>
    <w:pPr>
      <w:keepNext/>
      <w:numPr>
        <w:ilvl w:val="1"/>
        <w:numId w:val="1"/>
      </w:numPr>
      <w:jc w:val="both"/>
      <w:outlineLvl w:val="1"/>
    </w:pPr>
    <w:rPr>
      <w:rFonts w:ascii="Arial" w:hAnsi="Arial"/>
      <w:bCs/>
      <w:szCs w:val="20"/>
      <w:lang w:val="en-GB"/>
    </w:rPr>
  </w:style>
  <w:style w:type="paragraph" w:styleId="berschrift3">
    <w:name w:val="heading 3"/>
    <w:basedOn w:val="Standard"/>
    <w:next w:val="Standard"/>
    <w:link w:val="berschrift3Zchn"/>
    <w:qFormat/>
    <w:rsid w:val="0010043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Cs/>
      <w:i/>
      <w:color w:val="000000"/>
      <w:szCs w:val="26"/>
      <w:lang w:val="en-GB" w:eastAsia="de-DE"/>
    </w:rPr>
  </w:style>
  <w:style w:type="paragraph" w:styleId="berschrift4">
    <w:name w:val="heading 4"/>
    <w:basedOn w:val="Standard"/>
    <w:next w:val="Standard"/>
    <w:link w:val="berschrift4Zchn"/>
    <w:qFormat/>
    <w:rsid w:val="0010043D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color w:val="000000"/>
      <w:sz w:val="28"/>
      <w:szCs w:val="28"/>
      <w:lang w:val="en-GB" w:eastAsia="de-DE"/>
    </w:rPr>
  </w:style>
  <w:style w:type="paragraph" w:styleId="berschrift5">
    <w:name w:val="heading 5"/>
    <w:basedOn w:val="Standard"/>
    <w:next w:val="Standard"/>
    <w:link w:val="berschrift5Zchn"/>
    <w:qFormat/>
    <w:rsid w:val="0010043D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b/>
      <w:bCs/>
      <w:i/>
      <w:iCs/>
      <w:color w:val="000000"/>
      <w:sz w:val="26"/>
      <w:szCs w:val="26"/>
      <w:lang w:val="en-GB" w:eastAsia="de-DE"/>
    </w:rPr>
  </w:style>
  <w:style w:type="paragraph" w:styleId="berschrift6">
    <w:name w:val="heading 6"/>
    <w:basedOn w:val="Standard"/>
    <w:next w:val="Standard"/>
    <w:link w:val="berschrift6Zchn"/>
    <w:qFormat/>
    <w:rsid w:val="0010043D"/>
    <w:pPr>
      <w:numPr>
        <w:ilvl w:val="5"/>
        <w:numId w:val="1"/>
      </w:numPr>
      <w:spacing w:before="240" w:after="60"/>
      <w:jc w:val="both"/>
      <w:outlineLvl w:val="5"/>
    </w:pPr>
    <w:rPr>
      <w:b/>
      <w:bCs/>
      <w:color w:val="000000"/>
      <w:sz w:val="22"/>
      <w:szCs w:val="22"/>
      <w:lang w:val="en-GB" w:eastAsia="de-DE"/>
    </w:rPr>
  </w:style>
  <w:style w:type="paragraph" w:styleId="berschrift7">
    <w:name w:val="heading 7"/>
    <w:basedOn w:val="Standard"/>
    <w:next w:val="Standard"/>
    <w:link w:val="berschrift7Zchn"/>
    <w:qFormat/>
    <w:rsid w:val="0010043D"/>
    <w:pPr>
      <w:numPr>
        <w:ilvl w:val="6"/>
        <w:numId w:val="1"/>
      </w:numPr>
      <w:spacing w:before="240" w:after="60"/>
      <w:jc w:val="both"/>
      <w:outlineLvl w:val="6"/>
    </w:pPr>
    <w:rPr>
      <w:color w:val="000000"/>
      <w:lang w:val="en-GB" w:eastAsia="de-DE"/>
    </w:rPr>
  </w:style>
  <w:style w:type="paragraph" w:styleId="berschrift8">
    <w:name w:val="heading 8"/>
    <w:basedOn w:val="Standard"/>
    <w:next w:val="Standard"/>
    <w:link w:val="berschrift8Zchn"/>
    <w:qFormat/>
    <w:rsid w:val="0010043D"/>
    <w:pPr>
      <w:numPr>
        <w:ilvl w:val="7"/>
        <w:numId w:val="1"/>
      </w:numPr>
      <w:spacing w:before="240" w:after="60"/>
      <w:jc w:val="both"/>
      <w:outlineLvl w:val="7"/>
    </w:pPr>
    <w:rPr>
      <w:i/>
      <w:iCs/>
      <w:color w:val="000000"/>
      <w:lang w:val="en-GB" w:eastAsia="de-DE"/>
    </w:rPr>
  </w:style>
  <w:style w:type="paragraph" w:styleId="berschrift9">
    <w:name w:val="heading 9"/>
    <w:basedOn w:val="Standard"/>
    <w:next w:val="Standard"/>
    <w:link w:val="berschrift9Zchn"/>
    <w:qFormat/>
    <w:rsid w:val="0010043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color w:val="000000"/>
      <w:sz w:val="22"/>
      <w:szCs w:val="22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80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80895"/>
    <w:pPr>
      <w:tabs>
        <w:tab w:val="center" w:pos="4536"/>
        <w:tab w:val="right" w:pos="9072"/>
      </w:tabs>
    </w:pPr>
  </w:style>
  <w:style w:type="table" w:styleId="Tabellengitternetz">
    <w:name w:val="Table Grid"/>
    <w:basedOn w:val="NormaleTabelle"/>
    <w:rsid w:val="00F80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-Standardschriftart"/>
    <w:rsid w:val="00F80895"/>
    <w:rPr>
      <w:rFonts w:ascii="Arial" w:hAnsi="Arial"/>
      <w:sz w:val="22"/>
      <w:lang w:val="en-GB"/>
    </w:rPr>
  </w:style>
  <w:style w:type="paragraph" w:styleId="Sprechblasentext">
    <w:name w:val="Balloon Text"/>
    <w:basedOn w:val="Standard"/>
    <w:link w:val="SprechblasentextZchn"/>
    <w:rsid w:val="008947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947C1"/>
    <w:rPr>
      <w:rFonts w:ascii="Tahoma" w:hAnsi="Tahoma" w:cs="Tahoma"/>
      <w:sz w:val="16"/>
      <w:szCs w:val="16"/>
      <w:lang w:val="nl-NL" w:eastAsia="nl-NL"/>
    </w:rPr>
  </w:style>
  <w:style w:type="character" w:customStyle="1" w:styleId="berschrift1Zchn">
    <w:name w:val="Überschrift 1 Zchn"/>
    <w:basedOn w:val="Absatz-Standardschriftart"/>
    <w:link w:val="berschrift1"/>
    <w:rsid w:val="0010043D"/>
    <w:rPr>
      <w:rFonts w:ascii="Arial" w:hAnsi="Arial" w:cs="Arial"/>
      <w:b/>
      <w:bCs/>
      <w:color w:val="000000"/>
      <w:kern w:val="32"/>
      <w:sz w:val="24"/>
      <w:szCs w:val="32"/>
      <w:lang w:val="en-GB" w:eastAsia="de-DE"/>
    </w:rPr>
  </w:style>
  <w:style w:type="character" w:customStyle="1" w:styleId="berschrift2Zchn">
    <w:name w:val="Überschrift 2 Zchn"/>
    <w:basedOn w:val="Absatz-Standardschriftart"/>
    <w:link w:val="berschrift2"/>
    <w:rsid w:val="0010043D"/>
    <w:rPr>
      <w:rFonts w:ascii="Arial" w:hAnsi="Arial"/>
      <w:bCs/>
      <w:sz w:val="24"/>
      <w:lang w:val="en-GB" w:eastAsia="nl-NL"/>
    </w:rPr>
  </w:style>
  <w:style w:type="character" w:customStyle="1" w:styleId="berschrift3Zchn">
    <w:name w:val="Überschrift 3 Zchn"/>
    <w:basedOn w:val="Absatz-Standardschriftart"/>
    <w:link w:val="berschrift3"/>
    <w:rsid w:val="0010043D"/>
    <w:rPr>
      <w:rFonts w:ascii="Arial" w:hAnsi="Arial" w:cs="Arial"/>
      <w:bCs/>
      <w:i/>
      <w:color w:val="000000"/>
      <w:sz w:val="24"/>
      <w:szCs w:val="26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10043D"/>
    <w:rPr>
      <w:b/>
      <w:bCs/>
      <w:color w:val="000000"/>
      <w:sz w:val="28"/>
      <w:szCs w:val="28"/>
      <w:lang w:val="en-GB" w:eastAsia="de-DE"/>
    </w:rPr>
  </w:style>
  <w:style w:type="character" w:customStyle="1" w:styleId="berschrift5Zchn">
    <w:name w:val="Überschrift 5 Zchn"/>
    <w:basedOn w:val="Absatz-Standardschriftart"/>
    <w:link w:val="berschrift5"/>
    <w:rsid w:val="0010043D"/>
    <w:rPr>
      <w:rFonts w:ascii="Arial" w:hAnsi="Arial"/>
      <w:b/>
      <w:bCs/>
      <w:i/>
      <w:iCs/>
      <w:color w:val="000000"/>
      <w:sz w:val="26"/>
      <w:szCs w:val="26"/>
      <w:lang w:val="en-GB" w:eastAsia="de-DE"/>
    </w:rPr>
  </w:style>
  <w:style w:type="character" w:customStyle="1" w:styleId="berschrift6Zchn">
    <w:name w:val="Überschrift 6 Zchn"/>
    <w:basedOn w:val="Absatz-Standardschriftart"/>
    <w:link w:val="berschrift6"/>
    <w:rsid w:val="0010043D"/>
    <w:rPr>
      <w:b/>
      <w:bCs/>
      <w:color w:val="000000"/>
      <w:sz w:val="22"/>
      <w:szCs w:val="22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rsid w:val="0010043D"/>
    <w:rPr>
      <w:color w:val="000000"/>
      <w:sz w:val="24"/>
      <w:szCs w:val="24"/>
      <w:lang w:val="en-GB" w:eastAsia="de-DE"/>
    </w:rPr>
  </w:style>
  <w:style w:type="character" w:customStyle="1" w:styleId="berschrift8Zchn">
    <w:name w:val="Überschrift 8 Zchn"/>
    <w:basedOn w:val="Absatz-Standardschriftart"/>
    <w:link w:val="berschrift8"/>
    <w:rsid w:val="0010043D"/>
    <w:rPr>
      <w:i/>
      <w:iCs/>
      <w:color w:val="000000"/>
      <w:sz w:val="24"/>
      <w:szCs w:val="24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rsid w:val="0010043D"/>
    <w:rPr>
      <w:rFonts w:ascii="Arial" w:hAnsi="Arial" w:cs="Arial"/>
      <w:color w:val="000000"/>
      <w:sz w:val="22"/>
      <w:szCs w:val="22"/>
      <w:lang w:val="en-GB" w:eastAsia="de-DE"/>
    </w:rPr>
  </w:style>
  <w:style w:type="table" w:styleId="HelleSchattierung-Akzent1">
    <w:name w:val="Light Shading Accent 1"/>
    <w:basedOn w:val="NormaleTabelle"/>
    <w:uiPriority w:val="60"/>
    <w:rsid w:val="006C2C6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ittlereListe1">
    <w:name w:val="Medium List 1"/>
    <w:basedOn w:val="NormaleTabelle"/>
    <w:uiPriority w:val="65"/>
    <w:rsid w:val="006C2C6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GFA</dc:creator>
  <cp:lastModifiedBy>aschoepe</cp:lastModifiedBy>
  <cp:revision>2</cp:revision>
  <cp:lastPrinted>2009-01-27T11:24:00Z</cp:lastPrinted>
  <dcterms:created xsi:type="dcterms:W3CDTF">2010-01-16T18:26:00Z</dcterms:created>
  <dcterms:modified xsi:type="dcterms:W3CDTF">2010-01-16T18:26:00Z</dcterms:modified>
</cp:coreProperties>
</file>